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E32405" w:rsidP="00E73F5C">
      <w:pPr>
        <w:pStyle w:val="Docketnumber"/>
        <w:spacing w:after="360"/>
      </w:pPr>
      <w:bookmarkStart w:id="0" w:name="_GoBack"/>
      <w:bookmarkEnd w:id="0"/>
      <w:r>
        <w:t>PUC DOCKET NO. 46368</w:t>
      </w:r>
      <w:r>
        <w:br/>
        <w:t xml:space="preserve">SOAH DOCKET NO. </w:t>
      </w:r>
      <w:r w:rsidRPr="00E32405">
        <w:rPr>
          <w:rFonts w:eastAsia="Calibri"/>
          <w:bCs/>
        </w:rPr>
        <w:t>473-17-0684</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E73F5C">
        <w:tc>
          <w:tcPr>
            <w:tcW w:w="4500" w:type="dxa"/>
          </w:tcPr>
          <w:p w:rsidR="007572FC" w:rsidRPr="00607BCF" w:rsidRDefault="00E32405" w:rsidP="001E360C">
            <w:pPr>
              <w:pStyle w:val="Docketstyle"/>
            </w:pPr>
            <w:r w:rsidRPr="00607BCF">
              <w:rPr>
                <w:rFonts w:eastAsia="Calibri"/>
                <w:bCs/>
              </w:rPr>
              <w:t>APPLICATION OF AEP TEXAS NORTH COMPANY FOR REGULATORY APPROVALS RELATED TO THE INSTALLATION OF UTILITY-SCALE BATTERY FACILITIES</w:t>
            </w:r>
          </w:p>
        </w:tc>
        <w:tc>
          <w:tcPr>
            <w:tcW w:w="360" w:type="dxa"/>
          </w:tcPr>
          <w:p w:rsidR="007572FC" w:rsidRDefault="001E360C" w:rsidP="001E360C">
            <w:pPr>
              <w:pStyle w:val="Docketstyle"/>
            </w:pPr>
            <w:r>
              <w:t>§</w:t>
            </w:r>
          </w:p>
          <w:p w:rsidR="001E360C" w:rsidRDefault="001E360C" w:rsidP="001E360C">
            <w:pPr>
              <w:pStyle w:val="Docketstyle"/>
            </w:pPr>
            <w:r>
              <w:t>§</w:t>
            </w:r>
          </w:p>
          <w:p w:rsidR="00E32405" w:rsidRDefault="001E360C" w:rsidP="00E32405">
            <w:pPr>
              <w:pStyle w:val="Docketstyle"/>
            </w:pPr>
            <w:r>
              <w:t>§</w:t>
            </w:r>
            <w:r w:rsidR="00E32405">
              <w:t>§</w:t>
            </w:r>
          </w:p>
          <w:p w:rsidR="001E360C" w:rsidRDefault="00E32405" w:rsidP="00E32405">
            <w:pPr>
              <w:pStyle w:val="Docketstyle"/>
            </w:pPr>
            <w:r>
              <w:t>§</w:t>
            </w:r>
            <w:r w:rsidR="00607BCF">
              <w:t>§</w:t>
            </w:r>
          </w:p>
        </w:tc>
        <w:tc>
          <w:tcPr>
            <w:tcW w:w="4392" w:type="dxa"/>
          </w:tcPr>
          <w:p w:rsidR="005E2B57" w:rsidRDefault="005E2B57"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E73F5C">
      <w:pPr>
        <w:pStyle w:val="Titleoforder"/>
        <w:spacing w:before="360"/>
      </w:pPr>
      <w:r>
        <w:t>ORDER</w:t>
      </w:r>
    </w:p>
    <w:p w:rsidR="004C579C" w:rsidRDefault="00266F9F" w:rsidP="00266F9F">
      <w:pPr>
        <w:pStyle w:val="BodyText"/>
      </w:pPr>
      <w:r>
        <w:t xml:space="preserve">This </w:t>
      </w:r>
      <w:r w:rsidR="005E2B57">
        <w:t>o</w:t>
      </w:r>
      <w:r>
        <w:t>rder address</w:t>
      </w:r>
      <w:r w:rsidR="001D4F4B">
        <w:t>es</w:t>
      </w:r>
      <w:r>
        <w:t xml:space="preserve"> the application</w:t>
      </w:r>
      <w:r w:rsidR="00602E42">
        <w:t xml:space="preserve"> </w:t>
      </w:r>
      <w:r>
        <w:t xml:space="preserve">of </w:t>
      </w:r>
      <w:r w:rsidR="00602E42">
        <w:t>AEP Texas</w:t>
      </w:r>
      <w:r w:rsidR="003B12BF">
        <w:t xml:space="preserve"> </w:t>
      </w:r>
      <w:r w:rsidR="00602E42">
        <w:t>Inc.</w:t>
      </w:r>
      <w:r w:rsidR="00F5666B">
        <w:rPr>
          <w:rStyle w:val="FootnoteReference"/>
        </w:rPr>
        <w:footnoteReference w:id="1"/>
      </w:r>
      <w:r w:rsidR="00602E42">
        <w:t xml:space="preserve"> </w:t>
      </w:r>
      <w:r w:rsidR="004C579C">
        <w:t xml:space="preserve">for declarations from the Commission related </w:t>
      </w:r>
      <w:r>
        <w:t xml:space="preserve">to </w:t>
      </w:r>
      <w:r w:rsidR="00602E42">
        <w:t>utility</w:t>
      </w:r>
      <w:r w:rsidR="00602E42">
        <w:noBreakHyphen/>
        <w:t>scale lithium</w:t>
      </w:r>
      <w:r w:rsidR="0076198D">
        <w:t>-ion-</w:t>
      </w:r>
      <w:r w:rsidR="00602E42">
        <w:t>battery facilities</w:t>
      </w:r>
      <w:r w:rsidR="004C579C">
        <w:t xml:space="preserve"> AEP proposed to install</w:t>
      </w:r>
      <w:r w:rsidR="00602E42">
        <w:t xml:space="preserve"> in Woodson and Paint Rock, Texas</w:t>
      </w:r>
      <w:r w:rsidR="003A7D2A">
        <w:t>,</w:t>
      </w:r>
      <w:r w:rsidR="004C579C">
        <w:t xml:space="preserve"> if it obtain</w:t>
      </w:r>
      <w:r w:rsidR="008261BA">
        <w:t>ed</w:t>
      </w:r>
      <w:r w:rsidR="004C579C">
        <w:t xml:space="preserve"> the necessary declarations</w:t>
      </w:r>
      <w:r w:rsidR="00602E42">
        <w:t>.</w:t>
      </w:r>
      <w:r w:rsidR="004C579C">
        <w:t xml:space="preserve">  AEP requested “confirmation that the battery installations by [AEP] comply with Texas law and will be considered distribution assets . . . .”</w:t>
      </w:r>
      <w:r w:rsidR="004C579C">
        <w:rPr>
          <w:rStyle w:val="FootnoteReference"/>
        </w:rPr>
        <w:footnoteReference w:id="2"/>
      </w:r>
      <w:r w:rsidR="00602E42">
        <w:t xml:space="preserve">  </w:t>
      </w:r>
      <w:r w:rsidR="004C579C">
        <w:t>The company also request</w:t>
      </w:r>
      <w:r w:rsidR="00DC53AE">
        <w:t>ed</w:t>
      </w:r>
      <w:r w:rsidR="004C579C">
        <w:t xml:space="preserve"> approval to apply a specific depreciation rate to the batteries</w:t>
      </w:r>
      <w:r w:rsidR="00DC53AE">
        <w:t>,</w:t>
      </w:r>
      <w:r w:rsidR="00DC53AE">
        <w:rPr>
          <w:rStyle w:val="FootnoteReference"/>
        </w:rPr>
        <w:footnoteReference w:id="3"/>
      </w:r>
      <w:r w:rsidR="004C579C">
        <w:t xml:space="preserve"> but the Commission excluded this issue from this docket.</w:t>
      </w:r>
      <w:r w:rsidR="004C579C">
        <w:rPr>
          <w:rStyle w:val="FootnoteReference"/>
        </w:rPr>
        <w:footnoteReference w:id="4"/>
      </w:r>
      <w:r w:rsidR="004C579C">
        <w:t xml:space="preserve">  </w:t>
      </w:r>
    </w:p>
    <w:p w:rsidR="00C5752B" w:rsidRDefault="00C5752B" w:rsidP="00266F9F">
      <w:pPr>
        <w:pStyle w:val="BodyText"/>
      </w:pPr>
      <w:r>
        <w:t xml:space="preserve">After hearing, the administrative law judge </w:t>
      </w:r>
      <w:r w:rsidR="00266075">
        <w:t xml:space="preserve">(ALJ) </w:t>
      </w:r>
      <w:r>
        <w:t>assigned to this matter issued a proposal for decision that recommended that the Commission make findings of fact and conclusions of law that AEP’s proposed installation complies with</w:t>
      </w:r>
      <w:r w:rsidR="00DC53AE">
        <w:t xml:space="preserve"> the Public Utility Regulatory Act</w:t>
      </w:r>
      <w:r>
        <w:t xml:space="preserve"> </w:t>
      </w:r>
      <w:r w:rsidR="00DC53AE">
        <w:t>(</w:t>
      </w:r>
      <w:r>
        <w:t>PURA</w:t>
      </w:r>
      <w:r w:rsidR="00DC53AE">
        <w:t>)</w:t>
      </w:r>
      <w:r w:rsidR="00DC53AE">
        <w:rPr>
          <w:rStyle w:val="FootnoteReference"/>
        </w:rPr>
        <w:footnoteReference w:id="5"/>
      </w:r>
      <w:r>
        <w:t xml:space="preserve"> and Commission rules and that the batteries are properly characterized as distribution assets.</w:t>
      </w:r>
      <w:r w:rsidR="009D69FA">
        <w:rPr>
          <w:rStyle w:val="FootnoteReference"/>
        </w:rPr>
        <w:footnoteReference w:id="6"/>
      </w:r>
      <w:r>
        <w:t xml:space="preserve">  </w:t>
      </w:r>
      <w:r w:rsidR="005022A6">
        <w:t>For the reasons discussed in this order, the Commission</w:t>
      </w:r>
      <w:r>
        <w:t xml:space="preserve"> determines that this case does not provide sufficient information to allow the Commission to make the declarations sought by AEP with respect to the proposed battery installation</w:t>
      </w:r>
      <w:r w:rsidR="008261BA">
        <w:t>s</w:t>
      </w:r>
      <w:r>
        <w:t>.</w:t>
      </w:r>
    </w:p>
    <w:p w:rsidR="005E2B57" w:rsidRDefault="009D69FA" w:rsidP="00266F9F">
      <w:pPr>
        <w:pStyle w:val="BodyText"/>
      </w:pPr>
      <w:r>
        <w:t>Further, t</w:t>
      </w:r>
      <w:r w:rsidR="00741FD2">
        <w:t xml:space="preserve">he Commission deems it imprudent to </w:t>
      </w:r>
      <w:r w:rsidR="00984D4D">
        <w:t>make any declarations</w:t>
      </w:r>
      <w:r w:rsidR="00741FD2">
        <w:t xml:space="preserve"> in this docket on </w:t>
      </w:r>
      <w:proofErr w:type="gramStart"/>
      <w:r w:rsidR="00741FD2">
        <w:t>th</w:t>
      </w:r>
      <w:r>
        <w:t>e</w:t>
      </w:r>
      <w:proofErr w:type="gramEnd"/>
      <w:r>
        <w:t xml:space="preserve"> state of this</w:t>
      </w:r>
      <w:r w:rsidR="00741FD2">
        <w:t xml:space="preserve"> record</w:t>
      </w:r>
      <w:r w:rsidR="00266075">
        <w:t>,</w:t>
      </w:r>
      <w:r w:rsidR="00741FD2">
        <w:t xml:space="preserve"> because </w:t>
      </w:r>
      <w:r w:rsidR="00984D4D">
        <w:t>any such declaration</w:t>
      </w:r>
      <w:r w:rsidR="00741FD2">
        <w:t xml:space="preserve"> could </w:t>
      </w:r>
      <w:r w:rsidR="00984D4D">
        <w:t>limit unnecessarily</w:t>
      </w:r>
      <w:r w:rsidR="00741FD2">
        <w:t xml:space="preserve"> the future use of </w:t>
      </w:r>
      <w:r w:rsidR="00741FD2">
        <w:lastRenderedPageBreak/>
        <w:t>energy-storage devices in the Electric Reliability Council of Texas</w:t>
      </w:r>
      <w:r w:rsidR="00266075">
        <w:t xml:space="preserve"> (ERCOT)</w:t>
      </w:r>
      <w:r w:rsidR="00741FD2">
        <w:t>.  Accordingly, the</w:t>
      </w:r>
      <w:r w:rsidR="00C5752B">
        <w:t xml:space="preserve"> Commission</w:t>
      </w:r>
      <w:r w:rsidR="005022A6">
        <w:t xml:space="preserve"> dismisses this proceeding without prejudice</w:t>
      </w:r>
      <w:r w:rsidR="00741FD2">
        <w:t xml:space="preserve"> and directs that a rulemaking</w:t>
      </w:r>
      <w:r w:rsidR="008261BA">
        <w:t xml:space="preserve"> project</w:t>
      </w:r>
      <w:r w:rsidR="00741FD2">
        <w:t xml:space="preserve"> be </w:t>
      </w:r>
      <w:r w:rsidR="00266075">
        <w:t xml:space="preserve">initiated </w:t>
      </w:r>
      <w:r w:rsidR="00741FD2">
        <w:t xml:space="preserve">to develop the facts necessary to establish a regulatory </w:t>
      </w:r>
      <w:r>
        <w:t>framework</w:t>
      </w:r>
      <w:r w:rsidR="00741FD2">
        <w:t xml:space="preserve"> that will allow for the efficient</w:t>
      </w:r>
      <w:r>
        <w:t xml:space="preserve"> and appropriate</w:t>
      </w:r>
      <w:r w:rsidR="00741FD2">
        <w:t xml:space="preserve"> use of energy</w:t>
      </w:r>
      <w:r>
        <w:t>-</w:t>
      </w:r>
      <w:r w:rsidR="00741FD2">
        <w:t xml:space="preserve">storage devices </w:t>
      </w:r>
      <w:r w:rsidR="00266075">
        <w:t xml:space="preserve">as well as other technologies </w:t>
      </w:r>
      <w:r w:rsidR="00741FD2">
        <w:t>within the limits of PURA.</w:t>
      </w:r>
      <w:r w:rsidR="004C579C">
        <w:t xml:space="preserve">  Consistent with its decision, the Commission does not adopt the proposal for decision issued in this matter</w:t>
      </w:r>
      <w:r w:rsidR="00984D4D">
        <w:t>, except t</w:t>
      </w:r>
      <w:r w:rsidR="008261BA">
        <w:t>o</w:t>
      </w:r>
      <w:r w:rsidR="00984D4D">
        <w:t xml:space="preserve"> the extent it documents the procedural history and arguments of the parties</w:t>
      </w:r>
      <w:r w:rsidR="004C579C">
        <w:t>.</w:t>
      </w:r>
    </w:p>
    <w:p w:rsidR="000E457C" w:rsidRDefault="00741FD2" w:rsidP="000E457C">
      <w:pPr>
        <w:pStyle w:val="Heading1"/>
      </w:pPr>
      <w:r>
        <w:t>Procedural History</w:t>
      </w:r>
    </w:p>
    <w:p w:rsidR="00951F5D" w:rsidRDefault="00F5666B" w:rsidP="003B12BF">
      <w:pPr>
        <w:pStyle w:val="BodyText"/>
      </w:pPr>
      <w:r>
        <w:t xml:space="preserve">AEP Texas </w:t>
      </w:r>
      <w:r w:rsidR="005022A6">
        <w:t xml:space="preserve">filed </w:t>
      </w:r>
      <w:r w:rsidR="004C579C">
        <w:t>its</w:t>
      </w:r>
      <w:r w:rsidR="005022A6">
        <w:t xml:space="preserve"> application </w:t>
      </w:r>
      <w:r w:rsidR="004C579C">
        <w:t>on September 16, 2016</w:t>
      </w:r>
      <w:r w:rsidR="00266075">
        <w:t>,</w:t>
      </w:r>
      <w:r w:rsidR="004C579C">
        <w:t xml:space="preserve"> and </w:t>
      </w:r>
      <w:r w:rsidR="005022A6">
        <w:t>this case was referred to the State Office of Administrative Hearings (SOAH)</w:t>
      </w:r>
      <w:r w:rsidR="004C579C">
        <w:t xml:space="preserve"> on October 13, 2016</w:t>
      </w:r>
      <w:r w:rsidR="005022A6">
        <w:t xml:space="preserve">. </w:t>
      </w:r>
      <w:r w:rsidR="004C579C">
        <w:t xml:space="preserve"> </w:t>
      </w:r>
      <w:r w:rsidR="003D2A21">
        <w:t xml:space="preserve">A </w:t>
      </w:r>
      <w:r w:rsidR="005022A6">
        <w:t>hearing on the merits took place on June 21, 2017, and the record closed on August 15</w:t>
      </w:r>
      <w:r w:rsidR="005D046C">
        <w:t>, 2017</w:t>
      </w:r>
      <w:r w:rsidR="00CF2000">
        <w:t>.  On October 13, 2017, t</w:t>
      </w:r>
      <w:r w:rsidR="005022A6">
        <w:t xml:space="preserve">he SOAH </w:t>
      </w:r>
      <w:r w:rsidR="008261BA">
        <w:t>ALJ</w:t>
      </w:r>
      <w:r w:rsidR="005B3D60">
        <w:t xml:space="preserve"> </w:t>
      </w:r>
      <w:r w:rsidR="005022A6">
        <w:t>issued a proposal for decision</w:t>
      </w:r>
      <w:r w:rsidR="00CF2000">
        <w:t xml:space="preserve"> recommending approval of AEP’s application</w:t>
      </w:r>
      <w:r w:rsidR="00951F5D">
        <w:t xml:space="preserve">, by which the Commission understands the ALJ proposed making certain declarations that the proposed installations conform </w:t>
      </w:r>
      <w:proofErr w:type="gramStart"/>
      <w:r w:rsidR="00951F5D">
        <w:t>with</w:t>
      </w:r>
      <w:proofErr w:type="gramEnd"/>
      <w:r w:rsidR="00951F5D">
        <w:t xml:space="preserve"> existing law</w:t>
      </w:r>
      <w:r w:rsidR="003A7D2A">
        <w:t xml:space="preserve"> and Commission rules</w:t>
      </w:r>
      <w:r w:rsidR="00951F5D">
        <w:t xml:space="preserve"> and that the batteries were properly classified as distribution assets</w:t>
      </w:r>
      <w:r w:rsidR="005022A6">
        <w:t>.</w:t>
      </w:r>
      <w:r w:rsidR="00951F5D">
        <w:t xml:space="preserve">  The ALJ also proposed additional findings and conclusions in response to issues raised by the Commission in its preliminary order</w:t>
      </w:r>
      <w:r w:rsidR="00984D4D">
        <w:t xml:space="preserve"> regarding other regulatory provisions</w:t>
      </w:r>
      <w:r w:rsidR="00951F5D">
        <w:t>.</w:t>
      </w:r>
    </w:p>
    <w:p w:rsidR="00560A2B" w:rsidRDefault="00951F5D" w:rsidP="003B12BF">
      <w:pPr>
        <w:pStyle w:val="BodyText"/>
      </w:pPr>
      <w:r>
        <w:t>Parties filed exceptions</w:t>
      </w:r>
      <w:r w:rsidR="005E5DF9">
        <w:t xml:space="preserve"> to the proposal for decision on November 3</w:t>
      </w:r>
      <w:r>
        <w:t xml:space="preserve"> and replies to the </w:t>
      </w:r>
      <w:r w:rsidR="005E5DF9">
        <w:t>exceptions on November 17.  In response to the exceptions, the ALJ made</w:t>
      </w:r>
      <w:r w:rsidR="005022A6">
        <w:t xml:space="preserve"> </w:t>
      </w:r>
      <w:r w:rsidR="005E5DF9">
        <w:t>two corrections</w:t>
      </w:r>
      <w:r w:rsidR="00266075">
        <w:t>,</w:t>
      </w:r>
      <w:r w:rsidR="005E5DF9">
        <w:t xml:space="preserve"> but stated that no other changes were warranted.</w:t>
      </w:r>
      <w:r w:rsidR="005E5DF9">
        <w:rPr>
          <w:rStyle w:val="FootnoteReference"/>
        </w:rPr>
        <w:footnoteReference w:id="7"/>
      </w:r>
      <w:r w:rsidR="005022A6">
        <w:t xml:space="preserve"> </w:t>
      </w:r>
      <w:r w:rsidR="00560A2B">
        <w:t xml:space="preserve"> </w:t>
      </w:r>
    </w:p>
    <w:p w:rsidR="00ED10B4" w:rsidRDefault="005022A6" w:rsidP="003B12BF">
      <w:pPr>
        <w:pStyle w:val="BodyText"/>
      </w:pPr>
      <w:r>
        <w:t>The</w:t>
      </w:r>
      <w:r w:rsidR="00560A2B">
        <w:t xml:space="preserve"> Commission granted the</w:t>
      </w:r>
      <w:r>
        <w:t xml:space="preserve"> parties</w:t>
      </w:r>
      <w:r w:rsidR="008261BA">
        <w:t>’</w:t>
      </w:r>
      <w:r>
        <w:t xml:space="preserve"> </w:t>
      </w:r>
      <w:r w:rsidR="00560A2B">
        <w:t>request for</w:t>
      </w:r>
      <w:r>
        <w:t xml:space="preserve"> oral argument in this case</w:t>
      </w:r>
      <w:r w:rsidR="00560A2B">
        <w:t>, which was presented</w:t>
      </w:r>
      <w:r>
        <w:t xml:space="preserve"> at the </w:t>
      </w:r>
      <w:r w:rsidR="005D046C">
        <w:t xml:space="preserve">Commission’s </w:t>
      </w:r>
      <w:r>
        <w:t xml:space="preserve">January 11, 2018 open meeting.  </w:t>
      </w:r>
    </w:p>
    <w:p w:rsidR="00741FD2" w:rsidRDefault="00741FD2" w:rsidP="00741FD2">
      <w:pPr>
        <w:pStyle w:val="Heading1"/>
      </w:pPr>
      <w:r>
        <w:t>Background</w:t>
      </w:r>
    </w:p>
    <w:p w:rsidR="00BF2D99" w:rsidRDefault="00741FD2" w:rsidP="003B12BF">
      <w:pPr>
        <w:pStyle w:val="BodyText"/>
      </w:pPr>
      <w:r>
        <w:t>AEP proposed installing</w:t>
      </w:r>
      <w:r w:rsidR="000B32FD">
        <w:t xml:space="preserve"> </w:t>
      </w:r>
      <w:r>
        <w:t>batteries in two locat</w:t>
      </w:r>
      <w:r w:rsidR="00D268CA">
        <w:t>ions</w:t>
      </w:r>
      <w:r w:rsidR="00893A1E">
        <w:t>, each</w:t>
      </w:r>
      <w:r w:rsidR="00D268CA">
        <w:t xml:space="preserve"> </w:t>
      </w:r>
      <w:r w:rsidR="008E322A">
        <w:t xml:space="preserve">designed for </w:t>
      </w:r>
      <w:r w:rsidR="00893A1E">
        <w:t>a</w:t>
      </w:r>
      <w:r w:rsidR="008E322A">
        <w:t xml:space="preserve"> selected problem </w:t>
      </w:r>
      <w:r w:rsidR="00984D4D">
        <w:t>that could be addressed by</w:t>
      </w:r>
      <w:r w:rsidR="00893A1E">
        <w:t xml:space="preserve"> a</w:t>
      </w:r>
      <w:r w:rsidR="00984D4D">
        <w:t xml:space="preserve"> </w:t>
      </w:r>
      <w:r w:rsidR="00472ECA">
        <w:t xml:space="preserve">utility-scale </w:t>
      </w:r>
      <w:r w:rsidR="00984D4D">
        <w:t>batter</w:t>
      </w:r>
      <w:r w:rsidR="00893A1E">
        <w:t>y</w:t>
      </w:r>
      <w:r w:rsidR="00D268CA">
        <w:t>.</w:t>
      </w:r>
      <w:r w:rsidR="008E322A">
        <w:t xml:space="preserve">  One design was to provide a source of electric energy to serve retail customers when AEP’s distribution facilities could not deliver electricity to those customers.  The other was to provide a source of electric energy to prevent exceedances of </w:t>
      </w:r>
      <w:r w:rsidR="008E322A">
        <w:lastRenderedPageBreak/>
        <w:t>the rated capacity of AEP’s distribution facilities.</w:t>
      </w:r>
      <w:r w:rsidR="00D268CA">
        <w:t xml:space="preserve">  </w:t>
      </w:r>
      <w:r w:rsidR="008E4BC3">
        <w:t>Further</w:t>
      </w:r>
      <w:r w:rsidR="00D268CA">
        <w:t xml:space="preserve">, AEP proposed to not account for the energy used to charge the battery or the energy discharged from the battery to provide electricity to retail customers.  </w:t>
      </w:r>
    </w:p>
    <w:p w:rsidR="003B12BF" w:rsidRDefault="003B12BF" w:rsidP="003B12BF">
      <w:pPr>
        <w:pStyle w:val="Heading1"/>
      </w:pPr>
      <w:r>
        <w:t>Discussion</w:t>
      </w:r>
    </w:p>
    <w:p w:rsidR="008E4BC3" w:rsidRDefault="00B657A6" w:rsidP="003D2A21">
      <w:pPr>
        <w:pStyle w:val="BodyText"/>
      </w:pPr>
      <w:r>
        <w:t>The Commission recognizes that</w:t>
      </w:r>
      <w:r w:rsidR="009C2F96">
        <w:t xml:space="preserve"> </w:t>
      </w:r>
      <w:r w:rsidR="00560A2B">
        <w:t>energy-</w:t>
      </w:r>
      <w:r w:rsidR="00207648">
        <w:t>storage</w:t>
      </w:r>
      <w:r w:rsidR="00637A2B">
        <w:t xml:space="preserve"> facilities</w:t>
      </w:r>
      <w:r w:rsidR="00560A2B">
        <w:t xml:space="preserve">, whether batteries or </w:t>
      </w:r>
      <w:r w:rsidR="00207648">
        <w:t xml:space="preserve">other </w:t>
      </w:r>
      <w:r w:rsidR="009C2F96">
        <w:t>new technologies</w:t>
      </w:r>
      <w:r w:rsidR="00560A2B">
        <w:t>,</w:t>
      </w:r>
      <w:r w:rsidR="009C2F96">
        <w:t xml:space="preserve"> </w:t>
      </w:r>
      <w:r w:rsidR="00560A2B">
        <w:t>may allow electric energy to be provided</w:t>
      </w:r>
      <w:r w:rsidR="00431967">
        <w:t xml:space="preserve"> to the consumers in this state</w:t>
      </w:r>
      <w:r w:rsidR="00560A2B">
        <w:t xml:space="preserve"> in a</w:t>
      </w:r>
      <w:r w:rsidR="009C2F96">
        <w:t xml:space="preserve"> more reliabl</w:t>
      </w:r>
      <w:r w:rsidR="00560A2B">
        <w:t>e</w:t>
      </w:r>
      <w:r w:rsidR="009C2F96">
        <w:t xml:space="preserve"> and </w:t>
      </w:r>
      <w:r w:rsidR="00266075">
        <w:t xml:space="preserve">cost-effective </w:t>
      </w:r>
      <w:r w:rsidR="00560A2B">
        <w:t>manner</w:t>
      </w:r>
      <w:r w:rsidR="009C2F96">
        <w:t>.</w:t>
      </w:r>
      <w:r>
        <w:t xml:space="preserve">  </w:t>
      </w:r>
      <w:r w:rsidR="008E4BC3">
        <w:t xml:space="preserve">  </w:t>
      </w:r>
      <w:r w:rsidR="00266075">
        <w:t>However, t</w:t>
      </w:r>
      <w:r w:rsidR="008E4BC3">
        <w:t xml:space="preserve">he Commission finds that </w:t>
      </w:r>
      <w:r w:rsidR="000B32FD">
        <w:t xml:space="preserve">the facts presented in </w:t>
      </w:r>
      <w:r w:rsidR="008E4BC3">
        <w:t xml:space="preserve">this docket </w:t>
      </w:r>
      <w:r w:rsidR="000B32FD">
        <w:t>are too limited</w:t>
      </w:r>
      <w:r w:rsidR="008261BA">
        <w:t xml:space="preserve"> to properly evaluate the use of energy-storage</w:t>
      </w:r>
      <w:r w:rsidR="008E4BC3">
        <w:t xml:space="preserve"> technologies </w:t>
      </w:r>
      <w:r w:rsidR="008261BA">
        <w:t>in the manner proposed by AEP</w:t>
      </w:r>
      <w:r w:rsidR="008E4BC3">
        <w:t>.</w:t>
      </w:r>
    </w:p>
    <w:p w:rsidR="00E21773" w:rsidRDefault="00560A2B" w:rsidP="003D2A21">
      <w:pPr>
        <w:pStyle w:val="BodyText"/>
      </w:pPr>
      <w:r>
        <w:t xml:space="preserve">Further, </w:t>
      </w:r>
      <w:r w:rsidR="008E4BC3">
        <w:t>this docket</w:t>
      </w:r>
      <w:r>
        <w:t xml:space="preserve"> confirms </w:t>
      </w:r>
      <w:r w:rsidR="00266075">
        <w:t>that when</w:t>
      </w:r>
      <w:r w:rsidR="00431967">
        <w:t xml:space="preserve"> technology is evolving in </w:t>
      </w:r>
      <w:r w:rsidR="008E4BC3">
        <w:t xml:space="preserve">a </w:t>
      </w:r>
      <w:r w:rsidR="00431967">
        <w:t>regulated industr</w:t>
      </w:r>
      <w:r w:rsidR="008E4BC3">
        <w:t>y</w:t>
      </w:r>
      <w:r w:rsidR="00266075">
        <w:t xml:space="preserve">, </w:t>
      </w:r>
      <w:r w:rsidR="00431967">
        <w:t xml:space="preserve">the law </w:t>
      </w:r>
      <w:r w:rsidR="00266075">
        <w:t>often lags</w:t>
      </w:r>
      <w:r w:rsidR="00431967">
        <w:t xml:space="preserve"> behind such evolution.  </w:t>
      </w:r>
      <w:r w:rsidR="008E4BC3">
        <w:t xml:space="preserve">This docket demonstrates that the current regulatory structure is inadequate to </w:t>
      </w:r>
      <w:r w:rsidR="00266075">
        <w:t>address</w:t>
      </w:r>
      <w:r w:rsidR="008E4BC3">
        <w:t xml:space="preserve"> energy-storage devices in the manner presented by AEP in its application.</w:t>
      </w:r>
    </w:p>
    <w:p w:rsidR="00EB1BEA" w:rsidRDefault="00EB1BEA" w:rsidP="003D2A21">
      <w:pPr>
        <w:pStyle w:val="BodyText"/>
      </w:pPr>
      <w:r>
        <w:t>The laws and rules applicable to the electric industry</w:t>
      </w:r>
      <w:r w:rsidR="008E322A">
        <w:t xml:space="preserve"> </w:t>
      </w:r>
      <w:r w:rsidR="00266075">
        <w:t>with</w:t>
      </w:r>
      <w:r w:rsidR="008E322A">
        <w:t xml:space="preserve">in </w:t>
      </w:r>
      <w:r w:rsidR="00266075">
        <w:t>ERCOT</w:t>
      </w:r>
      <w:r w:rsidR="00667233">
        <w:t xml:space="preserve"> are based on the proposition, generally,</w:t>
      </w:r>
      <w:r>
        <w:t xml:space="preserve"> that </w:t>
      </w:r>
      <w:r w:rsidR="00266075">
        <w:t>electricity will</w:t>
      </w:r>
      <w:r>
        <w:t xml:space="preserve"> be bought and sold.</w:t>
      </w:r>
      <w:r w:rsidR="00667233">
        <w:t xml:space="preserve">  </w:t>
      </w:r>
      <w:r w:rsidR="00266075">
        <w:t xml:space="preserve">The use of </w:t>
      </w:r>
      <w:r w:rsidR="00667233">
        <w:t>unaccounted</w:t>
      </w:r>
      <w:r w:rsidR="008E322A">
        <w:t>-</w:t>
      </w:r>
      <w:r w:rsidR="00667233">
        <w:t>for</w:t>
      </w:r>
      <w:r w:rsidR="008E322A">
        <w:t>-</w:t>
      </w:r>
      <w:r w:rsidR="00667233">
        <w:t xml:space="preserve">energy </w:t>
      </w:r>
      <w:r w:rsidR="00266075">
        <w:t xml:space="preserve">(UFE) </w:t>
      </w:r>
      <w:r w:rsidR="00667233">
        <w:t xml:space="preserve">in the manner proposed </w:t>
      </w:r>
      <w:r w:rsidR="00266075">
        <w:t xml:space="preserve">by AEP in this proceeding </w:t>
      </w:r>
      <w:r w:rsidR="008E322A">
        <w:t>rais</w:t>
      </w:r>
      <w:r w:rsidR="008261BA">
        <w:t>es</w:t>
      </w:r>
      <w:r w:rsidR="008E322A">
        <w:t xml:space="preserve"> difficult and troubling </w:t>
      </w:r>
      <w:r w:rsidR="00266075">
        <w:t>issues</w:t>
      </w:r>
      <w:r w:rsidR="00667233">
        <w:t>.</w:t>
      </w:r>
      <w:r w:rsidR="008E322A">
        <w:t xml:space="preserve">  Further, </w:t>
      </w:r>
      <w:r w:rsidR="00266075">
        <w:t xml:space="preserve">the </w:t>
      </w:r>
      <w:r w:rsidR="00B657A6">
        <w:t>use</w:t>
      </w:r>
      <w:r w:rsidR="008E322A">
        <w:t xml:space="preserve"> </w:t>
      </w:r>
      <w:r w:rsidR="00266075">
        <w:t>of U</w:t>
      </w:r>
      <w:r w:rsidR="0074301D">
        <w:t>F</w:t>
      </w:r>
      <w:r w:rsidR="00266075">
        <w:t xml:space="preserve">E in the manner proposed </w:t>
      </w:r>
      <w:r w:rsidR="008E322A">
        <w:t>ma</w:t>
      </w:r>
      <w:r w:rsidR="008261BA">
        <w:t>kes</w:t>
      </w:r>
      <w:r w:rsidR="008E322A">
        <w:t xml:space="preserve"> any attempt to apply existing rules more difficult.</w:t>
      </w:r>
      <w:r>
        <w:t xml:space="preserve">  Thus, </w:t>
      </w:r>
      <w:r w:rsidR="00266075">
        <w:t>the</w:t>
      </w:r>
      <w:r>
        <w:t xml:space="preserve"> </w:t>
      </w:r>
      <w:r w:rsidR="00667233">
        <w:t>parties in</w:t>
      </w:r>
      <w:r>
        <w:t xml:space="preserve"> this docket</w:t>
      </w:r>
      <w:r w:rsidR="00667233">
        <w:t xml:space="preserve"> engaged in complex </w:t>
      </w:r>
      <w:r w:rsidR="008261BA">
        <w:t>arguments</w:t>
      </w:r>
      <w:r w:rsidR="00667233">
        <w:t xml:space="preserve"> to account for the proposed use of </w:t>
      </w:r>
      <w:r w:rsidR="00266075">
        <w:t>UFE</w:t>
      </w:r>
      <w:r w:rsidR="00667233">
        <w:t xml:space="preserve"> in a framework of market rules.</w:t>
      </w:r>
    </w:p>
    <w:p w:rsidR="008E322A" w:rsidRDefault="008E322A" w:rsidP="008E322A">
      <w:pPr>
        <w:pStyle w:val="BodyText"/>
      </w:pPr>
      <w:r>
        <w:t xml:space="preserve">It may be that these two batteries would likely have minimal impacts </w:t>
      </w:r>
      <w:r w:rsidR="005501D4">
        <w:t>to the</w:t>
      </w:r>
      <w:r>
        <w:t xml:space="preserve"> ERCOT</w:t>
      </w:r>
      <w:r w:rsidR="005501D4">
        <w:t xml:space="preserve"> market</w:t>
      </w:r>
      <w:r>
        <w:t xml:space="preserve">.  However, if AEP’s approach were approved, </w:t>
      </w:r>
      <w:r w:rsidR="00266075">
        <w:t>it is likely</w:t>
      </w:r>
      <w:r>
        <w:t xml:space="preserve"> that batteries would proliferate and the impacts on the electric market would be magnified.  </w:t>
      </w:r>
      <w:r w:rsidR="005501D4">
        <w:t>Moreover,</w:t>
      </w:r>
      <w:r>
        <w:t xml:space="preserve"> batteries may give benefits to some segments of the electric market, but may also be detrimental to other segments.  Given the limited focus of the evidence presented in this docket, the impact upon the wholesale and retail markets in ERCOT cannot be dete</w:t>
      </w:r>
      <w:r w:rsidR="00B657A6">
        <w:t>rmined;</w:t>
      </w:r>
      <w:r>
        <w:t xml:space="preserve"> but some parties </w:t>
      </w:r>
      <w:r w:rsidR="00266075">
        <w:t xml:space="preserve">argue that </w:t>
      </w:r>
      <w:r>
        <w:t>it could be considerable, even disruptive of the current market.  T</w:t>
      </w:r>
      <w:r w:rsidR="00B657A6">
        <w:t>hus, t</w:t>
      </w:r>
      <w:r>
        <w:t>his proceeding identified a potential for energy-storage devices to disrupt the ERCOT market under the current regulatory framework and therefore the need to develop new rules and procedures.</w:t>
      </w:r>
      <w:r w:rsidR="005501D4">
        <w:t xml:space="preserve">  </w:t>
      </w:r>
    </w:p>
    <w:p w:rsidR="008E322A" w:rsidRDefault="008E322A" w:rsidP="003D2A21">
      <w:pPr>
        <w:pStyle w:val="BodyText"/>
      </w:pPr>
      <w:r>
        <w:lastRenderedPageBreak/>
        <w:t>Further, as presented in the application, these</w:t>
      </w:r>
      <w:r w:rsidR="00B657A6">
        <w:t xml:space="preserve"> battery</w:t>
      </w:r>
      <w:r>
        <w:t xml:space="preserve"> solutions would be obtained at a lower cost than traditional distribution solutions.  However, the comparative economics</w:t>
      </w:r>
      <w:r w:rsidR="006F04AD">
        <w:t xml:space="preserve"> presented by AEP</w:t>
      </w:r>
      <w:r>
        <w:t xml:space="preserve"> of </w:t>
      </w:r>
      <w:r w:rsidR="006F04AD">
        <w:t xml:space="preserve">the </w:t>
      </w:r>
      <w:r>
        <w:t>batteries in these situations was limited</w:t>
      </w:r>
      <w:r w:rsidR="006F04AD">
        <w:t xml:space="preserve"> and was not fully tested</w:t>
      </w:r>
      <w:r>
        <w:t xml:space="preserve"> in this docket.  </w:t>
      </w:r>
      <w:r w:rsidR="006F04AD">
        <w:t>A more comprehensive analysis that address</w:t>
      </w:r>
      <w:r w:rsidR="00266075">
        <w:t>es</w:t>
      </w:r>
      <w:r w:rsidR="006F04AD">
        <w:t xml:space="preserve"> the benefits and detriments to all market segments</w:t>
      </w:r>
      <w:r w:rsidR="00B657A6">
        <w:t xml:space="preserve"> is needed</w:t>
      </w:r>
      <w:r w:rsidR="006F04AD">
        <w:t>.</w:t>
      </w:r>
    </w:p>
    <w:p w:rsidR="00667233" w:rsidRDefault="00667233" w:rsidP="003D2A21">
      <w:pPr>
        <w:pStyle w:val="BodyText"/>
      </w:pPr>
      <w:r>
        <w:t xml:space="preserve">The </w:t>
      </w:r>
      <w:r w:rsidR="000B32FD">
        <w:t>existing rules for Commission certification are also brought into question</w:t>
      </w:r>
      <w:r>
        <w:t xml:space="preserve"> by AEP’s proposal.  The novel use of energy</w:t>
      </w:r>
      <w:r w:rsidR="008261BA">
        <w:t xml:space="preserve"> </w:t>
      </w:r>
      <w:r>
        <w:t xml:space="preserve">storage such as proposed </w:t>
      </w:r>
      <w:r w:rsidR="00266075">
        <w:t xml:space="preserve">in this proceeding </w:t>
      </w:r>
      <w:r>
        <w:t>demand</w:t>
      </w:r>
      <w:r w:rsidR="005501D4">
        <w:t>s</w:t>
      </w:r>
      <w:r>
        <w:t xml:space="preserve"> a re-evaluation of those rules.</w:t>
      </w:r>
      <w:r w:rsidR="006F04AD">
        <w:t xml:space="preserve">  And even if the use of batteries is found, for some purposes, to be classified as distribution, the novelty of such use may need a fuller review as could be done in a certification proceeding.</w:t>
      </w:r>
    </w:p>
    <w:p w:rsidR="00466888" w:rsidRDefault="00E21773" w:rsidP="003D2A21">
      <w:pPr>
        <w:pStyle w:val="BodyText"/>
      </w:pPr>
      <w:r>
        <w:t xml:space="preserve">The Commission </w:t>
      </w:r>
      <w:r w:rsidR="001A72BB">
        <w:t>appreciates</w:t>
      </w:r>
      <w:r>
        <w:t xml:space="preserve"> the potential value of energy-storage technologies</w:t>
      </w:r>
      <w:r w:rsidR="00466888">
        <w:t xml:space="preserve"> to this state</w:t>
      </w:r>
      <w:r w:rsidR="008E4BC3">
        <w:t xml:space="preserve"> and deems that it would be imprudent to</w:t>
      </w:r>
      <w:r w:rsidR="009A4880">
        <w:t xml:space="preserve"> make a decision</w:t>
      </w:r>
      <w:r w:rsidR="005501D4">
        <w:t xml:space="preserve"> </w:t>
      </w:r>
      <w:r w:rsidR="00266075">
        <w:t xml:space="preserve">in this proceeding </w:t>
      </w:r>
      <w:r w:rsidR="009A4880">
        <w:t>that could</w:t>
      </w:r>
      <w:r w:rsidR="00466888">
        <w:t xml:space="preserve"> limit the most effective use of the</w:t>
      </w:r>
      <w:r w:rsidR="000B32FD">
        <w:t>se technologies in the future.  T</w:t>
      </w:r>
      <w:r w:rsidR="00466888">
        <w:t xml:space="preserve">he Commission concedes that </w:t>
      </w:r>
      <w:r w:rsidR="000E457C">
        <w:t>AEP</w:t>
      </w:r>
      <w:r w:rsidR="00466888">
        <w:t>’s</w:t>
      </w:r>
      <w:r w:rsidR="000E457C">
        <w:t xml:space="preserve"> propos</w:t>
      </w:r>
      <w:r w:rsidR="00466888">
        <w:t>al</w:t>
      </w:r>
      <w:r w:rsidR="000E457C">
        <w:t xml:space="preserve"> </w:t>
      </w:r>
      <w:r w:rsidR="00466888">
        <w:t>is innovative</w:t>
      </w:r>
      <w:r w:rsidR="00454EF2">
        <w:t>,</w:t>
      </w:r>
      <w:r w:rsidR="000E457C">
        <w:t xml:space="preserve"> </w:t>
      </w:r>
      <w:r w:rsidR="00466888">
        <w:t xml:space="preserve">but </w:t>
      </w:r>
      <w:r w:rsidR="00517B9A">
        <w:t>concludes</w:t>
      </w:r>
      <w:r w:rsidR="00FF4AAA">
        <w:t xml:space="preserve"> that a</w:t>
      </w:r>
      <w:r w:rsidR="00CF2000">
        <w:t xml:space="preserve"> con</w:t>
      </w:r>
      <w:r w:rsidR="00265B8A">
        <w:t xml:space="preserve">tested </w:t>
      </w:r>
      <w:r w:rsidR="00CF2000">
        <w:t>case proceeding</w:t>
      </w:r>
      <w:r w:rsidR="00466888">
        <w:t xml:space="preserve">—that necessarily must focus on a single set of </w:t>
      </w:r>
      <w:r w:rsidR="00B657A6">
        <w:t>designed</w:t>
      </w:r>
      <w:r w:rsidR="00466888">
        <w:t xml:space="preserve"> facts—is </w:t>
      </w:r>
      <w:r w:rsidR="00CF2000">
        <w:t>not</w:t>
      </w:r>
      <w:r w:rsidR="00207648">
        <w:t xml:space="preserve"> </w:t>
      </w:r>
      <w:r w:rsidR="00E60E38">
        <w:t>an appropriate forum in which</w:t>
      </w:r>
      <w:r w:rsidR="00CF2000">
        <w:t xml:space="preserve"> to </w:t>
      </w:r>
      <w:r w:rsidR="00266075">
        <w:t xml:space="preserve">address </w:t>
      </w:r>
      <w:r w:rsidR="00CF2000">
        <w:t xml:space="preserve">the </w:t>
      </w:r>
      <w:r w:rsidR="00207648">
        <w:t xml:space="preserve">many </w:t>
      </w:r>
      <w:r w:rsidR="00190E96">
        <w:t>p</w:t>
      </w:r>
      <w:r w:rsidR="00CF2000">
        <w:t xml:space="preserve">olicy </w:t>
      </w:r>
      <w:r w:rsidR="00266075">
        <w:t xml:space="preserve">issues </w:t>
      </w:r>
      <w:r w:rsidR="00466888">
        <w:t>surrounding the use of energy-storage devices in the manner proposed by AEP</w:t>
      </w:r>
      <w:r w:rsidR="00CF2000">
        <w:t xml:space="preserve">.  </w:t>
      </w:r>
      <w:r w:rsidR="001A72BB">
        <w:t>Nor is it an appropriate forum to amend the existing regulatory framework to provide necessary standards and conditions to allow the appropriate use of energy-storage devices in ERCOT.</w:t>
      </w:r>
    </w:p>
    <w:p w:rsidR="003D2A21" w:rsidRDefault="00466888" w:rsidP="003D2A21">
      <w:pPr>
        <w:pStyle w:val="BodyText"/>
      </w:pPr>
      <w:r>
        <w:t>Only after facts are fully developed will the Commission be in a pos</w:t>
      </w:r>
      <w:r w:rsidR="008261BA">
        <w:t>ition</w:t>
      </w:r>
      <w:r>
        <w:t xml:space="preserve"> to </w:t>
      </w:r>
      <w:r w:rsidR="001A72BB">
        <w:t>resolve</w:t>
      </w:r>
      <w:r>
        <w:t xml:space="preserve"> relevant policy issues and design the appropriate regulatory framework with proper standards.  </w:t>
      </w:r>
      <w:r w:rsidR="00CF2000">
        <w:t xml:space="preserve">Because such policy questions must be answered </w:t>
      </w:r>
      <w:r w:rsidR="001A72BB">
        <w:t>before new rules may be put into place, and because new rules are necessary to define the appropriate manner in which energy-storage d</w:t>
      </w:r>
      <w:r w:rsidR="00B657A6">
        <w:t>e</w:t>
      </w:r>
      <w:r w:rsidR="001A72BB">
        <w:t>vices are used</w:t>
      </w:r>
      <w:r w:rsidR="001D42C6">
        <w:t xml:space="preserve"> </w:t>
      </w:r>
      <w:r w:rsidR="00CF2000">
        <w:t>b</w:t>
      </w:r>
      <w:r w:rsidR="00F86063">
        <w:t xml:space="preserve">efore </w:t>
      </w:r>
      <w:r w:rsidR="001A72BB">
        <w:t>the</w:t>
      </w:r>
      <w:r w:rsidR="00207648">
        <w:t xml:space="preserve"> </w:t>
      </w:r>
      <w:r w:rsidR="00EE0A7E">
        <w:t xml:space="preserve">use of energy-storage devices </w:t>
      </w:r>
      <w:r w:rsidR="00207648">
        <w:t>can</w:t>
      </w:r>
      <w:r w:rsidR="00CF2000">
        <w:t xml:space="preserve"> move forward</w:t>
      </w:r>
      <w:r w:rsidR="00413361">
        <w:t>, the Commission finds good cause to dismiss this proceeding</w:t>
      </w:r>
      <w:r w:rsidR="001D42C6">
        <w:rPr>
          <w:rStyle w:val="FootnoteReference"/>
        </w:rPr>
        <w:footnoteReference w:id="8"/>
      </w:r>
      <w:r w:rsidR="003D2A21">
        <w:t xml:space="preserve"> and</w:t>
      </w:r>
      <w:r w:rsidR="00454EF2">
        <w:t xml:space="preserve"> directs</w:t>
      </w:r>
      <w:r w:rsidR="003D2A21">
        <w:t xml:space="preserve"> Commission Staff to open a </w:t>
      </w:r>
      <w:r w:rsidR="001A72BB">
        <w:t>project in which the necessary policy issues may be addressed and the appropriate regulatory structure can be developed through a future rulemaking</w:t>
      </w:r>
      <w:r w:rsidR="003D2A21">
        <w:t>.</w:t>
      </w:r>
    </w:p>
    <w:p w:rsidR="001B0751" w:rsidRPr="00791C33" w:rsidRDefault="00011749" w:rsidP="001B0751">
      <w:pPr>
        <w:pStyle w:val="BodyText"/>
      </w:pPr>
      <w:r>
        <w:lastRenderedPageBreak/>
        <w:t xml:space="preserve">The Commission </w:t>
      </w:r>
      <w:r w:rsidR="00AB7553">
        <w:t>recognizes the need</w:t>
      </w:r>
      <w:r>
        <w:t xml:space="preserve"> to </w:t>
      </w:r>
      <w:r w:rsidR="00F86063">
        <w:t>move</w:t>
      </w:r>
      <w:r>
        <w:t xml:space="preserve"> </w:t>
      </w:r>
      <w:r w:rsidR="001D42C6">
        <w:t xml:space="preserve">forward </w:t>
      </w:r>
      <w:r>
        <w:t xml:space="preserve">to establish a framework </w:t>
      </w:r>
      <w:r w:rsidR="006606D3">
        <w:t>that will allow</w:t>
      </w:r>
      <w:r>
        <w:t xml:space="preserve"> promising new techn</w:t>
      </w:r>
      <w:r w:rsidR="006606D3">
        <w:t xml:space="preserve">ologies to </w:t>
      </w:r>
      <w:r w:rsidR="00266075">
        <w:t>cost-effectively address distribution quality issues without interfering</w:t>
      </w:r>
      <w:r w:rsidR="00266075" w:rsidDel="00266075">
        <w:t xml:space="preserve"> </w:t>
      </w:r>
      <w:r w:rsidR="006606D3">
        <w:t xml:space="preserve">with </w:t>
      </w:r>
      <w:r w:rsidR="00266075">
        <w:t>the</w:t>
      </w:r>
      <w:r w:rsidR="006606D3">
        <w:t xml:space="preserve"> electric market.  </w:t>
      </w:r>
      <w:r w:rsidR="00BB0419">
        <w:t xml:space="preserve">The rulemaking should </w:t>
      </w:r>
      <w:r w:rsidR="00266075">
        <w:t xml:space="preserve">consider </w:t>
      </w:r>
      <w:r w:rsidR="00BB0419">
        <w:t>issues raised in this case and</w:t>
      </w:r>
      <w:r w:rsidR="0076198D">
        <w:t xml:space="preserve"> </w:t>
      </w:r>
      <w:r w:rsidR="00BB0419">
        <w:t xml:space="preserve">the potential impact of new technologies on the competitive retail market and the energy-only wholesale market in ERCOT.  </w:t>
      </w:r>
      <w:r w:rsidR="000635AE">
        <w:t>The</w:t>
      </w:r>
      <w:r w:rsidR="00222E04">
        <w:t xml:space="preserve"> rulemaking </w:t>
      </w:r>
      <w:r w:rsidR="00DA1795">
        <w:t>should specifically</w:t>
      </w:r>
      <w:r w:rsidR="00E60E38">
        <w:t xml:space="preserve"> </w:t>
      </w:r>
      <w:r w:rsidR="00454EF2">
        <w:t>address</w:t>
      </w:r>
      <w:r w:rsidR="001B0751" w:rsidRPr="00431F75">
        <w:t xml:space="preserve"> </w:t>
      </w:r>
      <w:r w:rsidR="00266075">
        <w:t xml:space="preserve">the manner in which </w:t>
      </w:r>
      <w:r w:rsidR="001B0751" w:rsidRPr="00431F75">
        <w:t xml:space="preserve">to treat the energy consumed by </w:t>
      </w:r>
      <w:r w:rsidR="005B3D60">
        <w:t>b</w:t>
      </w:r>
      <w:r w:rsidR="00BB0419">
        <w:t>atter</w:t>
      </w:r>
      <w:r w:rsidR="00EE0A7E">
        <w:t>ies and other new</w:t>
      </w:r>
      <w:r w:rsidR="005B3D60">
        <w:t xml:space="preserve"> technologies</w:t>
      </w:r>
      <w:r w:rsidR="00DA1795">
        <w:t xml:space="preserve">.  </w:t>
      </w:r>
      <w:r w:rsidR="00EE0A7E">
        <w:t xml:space="preserve">The Commission will not prejudge issues </w:t>
      </w:r>
      <w:r w:rsidR="00FE7CC8">
        <w:t>in this docket; however, the</w:t>
      </w:r>
      <w:r w:rsidR="00EE0A7E">
        <w:t xml:space="preserve"> use of</w:t>
      </w:r>
      <w:r w:rsidR="005B3D60">
        <w:t xml:space="preserve"> </w:t>
      </w:r>
      <w:r w:rsidR="00FE7CC8">
        <w:t>UFE</w:t>
      </w:r>
      <w:r w:rsidR="00AB7553">
        <w:t xml:space="preserve"> </w:t>
      </w:r>
      <w:r w:rsidR="00EE0A7E">
        <w:t xml:space="preserve">in the manner proposed by AEP </w:t>
      </w:r>
      <w:r w:rsidR="00FE7CC8">
        <w:t>is questionable</w:t>
      </w:r>
      <w:r w:rsidR="007E04C3">
        <w:t xml:space="preserve">.  </w:t>
      </w:r>
      <w:r w:rsidR="00661A6E">
        <w:t xml:space="preserve">The </w:t>
      </w:r>
      <w:r w:rsidR="00791C33">
        <w:t xml:space="preserve">rulemaking should </w:t>
      </w:r>
      <w:r w:rsidR="00661A6E">
        <w:t xml:space="preserve">also </w:t>
      </w:r>
      <w:r w:rsidR="00791C33">
        <w:t>address</w:t>
      </w:r>
      <w:r w:rsidR="001B0751" w:rsidRPr="00791C33">
        <w:t xml:space="preserve"> </w:t>
      </w:r>
      <w:r w:rsidR="001D42C6">
        <w:t>whether</w:t>
      </w:r>
      <w:r w:rsidR="001B0751" w:rsidRPr="00791C33">
        <w:t xml:space="preserve"> </w:t>
      </w:r>
      <w:r w:rsidR="00661A6E">
        <w:t xml:space="preserve">certification </w:t>
      </w:r>
      <w:r w:rsidR="001D42C6">
        <w:t>should be required for</w:t>
      </w:r>
      <w:r w:rsidR="00661A6E">
        <w:t xml:space="preserve"> energy-storage device</w:t>
      </w:r>
      <w:r w:rsidR="001D42C6">
        <w:t>s</w:t>
      </w:r>
      <w:r w:rsidR="00FE7CC8">
        <w:t xml:space="preserve"> and new technologies</w:t>
      </w:r>
      <w:r w:rsidR="001B0751" w:rsidRPr="00791C33">
        <w:t xml:space="preserve">.  </w:t>
      </w:r>
      <w:r w:rsidR="001D42C6">
        <w:t>If so, t</w:t>
      </w:r>
      <w:r w:rsidR="00CF2000">
        <w:t>he</w:t>
      </w:r>
      <w:r w:rsidR="00791C33">
        <w:t xml:space="preserve"> Commission’s </w:t>
      </w:r>
      <w:r w:rsidR="001D42C6">
        <w:t xml:space="preserve">certification rule will also </w:t>
      </w:r>
      <w:r w:rsidR="00CF2000">
        <w:t>need to be</w:t>
      </w:r>
      <w:r w:rsidR="001B0751" w:rsidRPr="00791C33">
        <w:t xml:space="preserve"> amended</w:t>
      </w:r>
      <w:r w:rsidR="005B3D60">
        <w:t>.</w:t>
      </w:r>
    </w:p>
    <w:p w:rsidR="00EE5DDA" w:rsidRDefault="00EE5DDA" w:rsidP="00EE5DDA">
      <w:pPr>
        <w:pStyle w:val="Heading1"/>
      </w:pPr>
      <w:r>
        <w:t>Ordering Paragraphs</w:t>
      </w:r>
    </w:p>
    <w:p w:rsidR="008D1724" w:rsidRPr="008D1724" w:rsidRDefault="001D42C6" w:rsidP="008D1724">
      <w:pPr>
        <w:pStyle w:val="BodyText"/>
      </w:pPr>
      <w:r>
        <w:t>Consistent with the discussion above, t</w:t>
      </w:r>
      <w:r w:rsidR="00F93D98">
        <w:t xml:space="preserve">he </w:t>
      </w:r>
      <w:r w:rsidR="008D1724">
        <w:t>Commission issues the following orders:</w:t>
      </w:r>
    </w:p>
    <w:p w:rsidR="00857790" w:rsidRDefault="00F93D98" w:rsidP="00857790">
      <w:pPr>
        <w:pStyle w:val="OrderingParagraph"/>
      </w:pPr>
      <w:r>
        <w:t>This proceeding is dismissed without prejudice</w:t>
      </w:r>
      <w:r w:rsidR="00ED10B4">
        <w:t>.</w:t>
      </w:r>
    </w:p>
    <w:p w:rsidR="00857790" w:rsidRPr="00ED10B4" w:rsidRDefault="00791C33" w:rsidP="00857790">
      <w:pPr>
        <w:pStyle w:val="OrderingParagraph"/>
      </w:pPr>
      <w:r>
        <w:t>Commission Staff</w:t>
      </w:r>
      <w:r w:rsidR="00ED10B4" w:rsidRPr="00ED10B4">
        <w:t xml:space="preserve"> </w:t>
      </w:r>
      <w:r w:rsidR="00661A6E">
        <w:t>shall</w:t>
      </w:r>
      <w:r w:rsidR="00ED10B4" w:rsidRPr="00ED10B4">
        <w:t xml:space="preserve"> open a rulemaking </w:t>
      </w:r>
      <w:r w:rsidR="00ED10B4">
        <w:t>to address the issues raised by this proceeding</w:t>
      </w:r>
      <w:r w:rsidR="00661A6E">
        <w:t xml:space="preserve"> and discussed in this </w:t>
      </w:r>
      <w:r w:rsidR="00885068">
        <w:t>o</w:t>
      </w:r>
      <w:r w:rsidR="00661A6E">
        <w:t>rder.</w:t>
      </w:r>
    </w:p>
    <w:p w:rsidR="00857790" w:rsidRDefault="00857790" w:rsidP="00857790">
      <w:pPr>
        <w:pStyle w:val="OrderingParagraph"/>
      </w:pPr>
      <w:r w:rsidRPr="00EA1C44">
        <w:t>All other motions, requests for entry of specific findings of fact and conclusions of law, and any other requests for general or specific relief, if not expressly granted, are denied.</w:t>
      </w: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832F97" w:rsidRDefault="00832F97" w:rsidP="00E60E38">
      <w:pPr>
        <w:spacing w:after="160" w:line="259" w:lineRule="auto"/>
        <w:rPr>
          <w:b/>
        </w:rPr>
      </w:pPr>
    </w:p>
    <w:p w:rsidR="00160DCD" w:rsidRPr="00E60E38" w:rsidRDefault="00160DCD" w:rsidP="00E60E38">
      <w:pPr>
        <w:spacing w:after="160" w:line="259" w:lineRule="auto"/>
        <w:rPr>
          <w:b/>
        </w:rPr>
      </w:pPr>
      <w:r w:rsidRPr="00E60E38">
        <w:rPr>
          <w:b/>
        </w:rPr>
        <w:lastRenderedPageBreak/>
        <w:t xml:space="preserve">Signed at Austin, Texas the ______ day of </w:t>
      </w:r>
      <w:r w:rsidR="00132F37">
        <w:rPr>
          <w:b/>
        </w:rPr>
        <w:t>February</w:t>
      </w:r>
      <w:r w:rsidR="00580482" w:rsidRPr="00E60E38">
        <w:rPr>
          <w:b/>
        </w:rPr>
        <w:t xml:space="preserve"> 2018</w:t>
      </w:r>
      <w:r w:rsidR="008D1724" w:rsidRPr="00E60E38">
        <w:rPr>
          <w:b/>
        </w:rPr>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580482" w:rsidRDefault="00580482" w:rsidP="00580482">
      <w:pPr>
        <w:pStyle w:val="Signatures"/>
      </w:pPr>
      <w:r>
        <w:t>BRANDY MARTY MARQUEZ,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580482" w:rsidP="00160DCD">
      <w:pPr>
        <w:pStyle w:val="Signatures"/>
      </w:pPr>
      <w:r>
        <w:t>ARTHUR C. D’ANDREA</w:t>
      </w:r>
      <w:r w:rsidR="00160DCD">
        <w:t>, COMMISSIONER</w:t>
      </w:r>
    </w:p>
    <w:p w:rsidR="00160DCD" w:rsidRDefault="00160DCD" w:rsidP="00160DCD"/>
    <w:p w:rsidR="00160DCD" w:rsidRDefault="00160DCD" w:rsidP="00160DCD"/>
    <w:p w:rsidR="00271F92" w:rsidRDefault="00271F92" w:rsidP="00160DCD"/>
    <w:p w:rsidR="00271F92" w:rsidRDefault="00271F92" w:rsidP="00160DCD"/>
    <w:p w:rsidR="00271F92" w:rsidRPr="00454C51" w:rsidRDefault="00271F92" w:rsidP="00271F92">
      <w:pPr>
        <w:rPr>
          <w:sz w:val="16"/>
          <w:szCs w:val="16"/>
        </w:rPr>
      </w:pPr>
      <w:r>
        <w:rPr>
          <w:sz w:val="16"/>
          <w:szCs w:val="16"/>
        </w:rPr>
        <w:fldChar w:fldCharType="begin"/>
      </w:r>
      <w:r>
        <w:rPr>
          <w:sz w:val="16"/>
          <w:szCs w:val="16"/>
        </w:rPr>
        <w:instrText xml:space="preserve"> FILENAME  \p  \* MERGEFORMAT </w:instrText>
      </w:r>
      <w:r>
        <w:rPr>
          <w:sz w:val="16"/>
          <w:szCs w:val="16"/>
        </w:rPr>
        <w:fldChar w:fldCharType="separate"/>
      </w:r>
      <w:r>
        <w:rPr>
          <w:noProof/>
          <w:sz w:val="16"/>
          <w:szCs w:val="16"/>
        </w:rPr>
        <w:t>Q:\CADM\ORDERS\FINAL\46000\46368 FO.docx</w:t>
      </w:r>
      <w:r>
        <w:rPr>
          <w:sz w:val="16"/>
          <w:szCs w:val="16"/>
        </w:rPr>
        <w:fldChar w:fldCharType="end"/>
      </w:r>
    </w:p>
    <w:p w:rsidR="00271F92" w:rsidRDefault="00271F92" w:rsidP="00160DCD"/>
    <w:sectPr w:rsidR="00271F9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6EF" w:rsidRDefault="00E776EF" w:rsidP="00D03394">
      <w:r>
        <w:separator/>
      </w:r>
    </w:p>
  </w:endnote>
  <w:endnote w:type="continuationSeparator" w:id="0">
    <w:p w:rsidR="00E776EF" w:rsidRDefault="00E776E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6EF" w:rsidRDefault="00E776EF" w:rsidP="00D03394">
      <w:r>
        <w:separator/>
      </w:r>
    </w:p>
  </w:footnote>
  <w:footnote w:type="continuationSeparator" w:id="0">
    <w:p w:rsidR="00E776EF" w:rsidRDefault="00E776EF" w:rsidP="00D03394">
      <w:r>
        <w:continuationSeparator/>
      </w:r>
    </w:p>
  </w:footnote>
  <w:footnote w:id="1">
    <w:p w:rsidR="00F5666B" w:rsidRDefault="00F5666B" w:rsidP="000B32FD">
      <w:pPr>
        <w:pStyle w:val="FootnoteText"/>
        <w:spacing w:before="120"/>
        <w:jc w:val="both"/>
      </w:pPr>
      <w:r>
        <w:rPr>
          <w:rStyle w:val="FootnoteReference"/>
        </w:rPr>
        <w:footnoteRef/>
      </w:r>
      <w:r>
        <w:t xml:space="preserve">  </w:t>
      </w:r>
      <w:r w:rsidR="00DC53AE">
        <w:t xml:space="preserve">The Commission refers to the applicant in this </w:t>
      </w:r>
      <w:r w:rsidR="008261BA">
        <w:t>o</w:t>
      </w:r>
      <w:r w:rsidR="00DC53AE">
        <w:t xml:space="preserve">rder as AEP Texas, Inc. to reflect the merger of </w:t>
      </w:r>
      <w:r>
        <w:t xml:space="preserve">AEP Texas North Company and AEP Texas Central Company </w:t>
      </w:r>
      <w:r w:rsidR="00DC53AE">
        <w:t xml:space="preserve">into </w:t>
      </w:r>
      <w:r>
        <w:t xml:space="preserve">their parent company, </w:t>
      </w:r>
      <w:r w:rsidR="00DC53AE">
        <w:t>effective December 31, 2016.</w:t>
      </w:r>
    </w:p>
  </w:footnote>
  <w:footnote w:id="2">
    <w:p w:rsidR="004C579C" w:rsidRDefault="004C579C" w:rsidP="000B32FD">
      <w:pPr>
        <w:pStyle w:val="FootnoteText"/>
        <w:spacing w:before="120"/>
      </w:pPr>
      <w:r>
        <w:rPr>
          <w:rStyle w:val="FootnoteReference"/>
        </w:rPr>
        <w:footnoteRef/>
      </w:r>
      <w:r>
        <w:t xml:space="preserve"> </w:t>
      </w:r>
      <w:r w:rsidR="009D69FA">
        <w:t xml:space="preserve"> </w:t>
      </w:r>
      <w:r>
        <w:t>Application at 3 (Sep. 16, 201</w:t>
      </w:r>
      <w:r w:rsidR="00266075">
        <w:t>6</w:t>
      </w:r>
      <w:r>
        <w:t>).</w:t>
      </w:r>
    </w:p>
  </w:footnote>
  <w:footnote w:id="3">
    <w:p w:rsidR="00DC53AE" w:rsidRPr="00DC53AE" w:rsidRDefault="00DC53AE" w:rsidP="000B32FD">
      <w:pPr>
        <w:pStyle w:val="FootnoteText"/>
        <w:spacing w:before="120"/>
      </w:pPr>
      <w:r>
        <w:rPr>
          <w:rStyle w:val="FootnoteReference"/>
        </w:rPr>
        <w:footnoteRef/>
      </w:r>
      <w:r>
        <w:t xml:space="preserve"> </w:t>
      </w:r>
      <w:r w:rsidR="009D69FA">
        <w:t xml:space="preserve"> </w:t>
      </w:r>
      <w:r>
        <w:rPr>
          <w:i/>
        </w:rPr>
        <w:t>Id.</w:t>
      </w:r>
      <w:r>
        <w:t xml:space="preserve"> at 3-4.</w:t>
      </w:r>
    </w:p>
  </w:footnote>
  <w:footnote w:id="4">
    <w:p w:rsidR="004C579C" w:rsidRDefault="004C579C" w:rsidP="000B32FD">
      <w:pPr>
        <w:pStyle w:val="FootnoteText"/>
        <w:spacing w:before="120"/>
      </w:pPr>
      <w:r>
        <w:rPr>
          <w:rStyle w:val="FootnoteReference"/>
        </w:rPr>
        <w:footnoteRef/>
      </w:r>
      <w:r>
        <w:t xml:space="preserve"> </w:t>
      </w:r>
      <w:r w:rsidR="009D69FA">
        <w:t xml:space="preserve"> </w:t>
      </w:r>
      <w:r>
        <w:t>Preliminary Order at 5 (Nov. 14, 201</w:t>
      </w:r>
      <w:r w:rsidR="00266075">
        <w:t>6</w:t>
      </w:r>
      <w:r>
        <w:t>).</w:t>
      </w:r>
    </w:p>
  </w:footnote>
  <w:footnote w:id="5">
    <w:p w:rsidR="00DC53AE" w:rsidRDefault="00DC53AE" w:rsidP="000B32FD">
      <w:pPr>
        <w:pStyle w:val="FootnoteText"/>
        <w:spacing w:before="120"/>
      </w:pPr>
      <w:r>
        <w:rPr>
          <w:rStyle w:val="FootnoteReference"/>
        </w:rPr>
        <w:footnoteRef/>
      </w:r>
      <w:r>
        <w:t xml:space="preserve"> </w:t>
      </w:r>
      <w:r w:rsidR="009D69FA">
        <w:t xml:space="preserve"> </w:t>
      </w:r>
      <w:r w:rsidR="009D69FA" w:rsidRPr="0036073A">
        <w:rPr>
          <w:rFonts w:eastAsia="Calibri"/>
        </w:rPr>
        <w:t>Tex. Util. Code Ann. §§ 11.001</w:t>
      </w:r>
      <w:r w:rsidR="009D69FA">
        <w:t>–</w:t>
      </w:r>
      <w:r w:rsidR="009D69FA" w:rsidRPr="0036073A">
        <w:rPr>
          <w:rFonts w:eastAsia="Calibri"/>
        </w:rPr>
        <w:t>58.30</w:t>
      </w:r>
      <w:r w:rsidR="009D69FA">
        <w:rPr>
          <w:rFonts w:eastAsia="Calibri"/>
        </w:rPr>
        <w:t>2</w:t>
      </w:r>
      <w:r w:rsidR="009D69FA" w:rsidRPr="0036073A">
        <w:rPr>
          <w:rFonts w:eastAsia="Calibri"/>
        </w:rPr>
        <w:t xml:space="preserve"> (West 2016</w:t>
      </w:r>
      <w:r w:rsidR="009D69FA">
        <w:rPr>
          <w:rFonts w:eastAsia="Calibri"/>
        </w:rPr>
        <w:t xml:space="preserve"> &amp; Supp. 2017</w:t>
      </w:r>
      <w:r w:rsidR="009D69FA" w:rsidRPr="0036073A">
        <w:rPr>
          <w:rFonts w:eastAsia="Calibri"/>
        </w:rPr>
        <w:t>), §§</w:t>
      </w:r>
      <w:r w:rsidR="009D69FA">
        <w:rPr>
          <w:rFonts w:eastAsia="Calibri"/>
        </w:rPr>
        <w:t> </w:t>
      </w:r>
      <w:r w:rsidR="009D69FA" w:rsidRPr="0036073A">
        <w:rPr>
          <w:rFonts w:eastAsia="Calibri"/>
        </w:rPr>
        <w:t>59.001</w:t>
      </w:r>
      <w:r w:rsidR="009D69FA">
        <w:t>–</w:t>
      </w:r>
      <w:r w:rsidR="009D69FA" w:rsidRPr="0036073A">
        <w:rPr>
          <w:rFonts w:eastAsia="Calibri"/>
        </w:rPr>
        <w:t>66.01</w:t>
      </w:r>
      <w:r w:rsidR="009D69FA">
        <w:rPr>
          <w:rFonts w:eastAsia="Calibri"/>
        </w:rPr>
        <w:t>6</w:t>
      </w:r>
      <w:r w:rsidR="009D69FA" w:rsidRPr="0036073A">
        <w:rPr>
          <w:rFonts w:eastAsia="Calibri"/>
        </w:rPr>
        <w:t xml:space="preserve"> (West 2007 &amp; Supp. 2017)</w:t>
      </w:r>
      <w:r w:rsidR="009D69FA">
        <w:rPr>
          <w:rFonts w:eastAsia="Calibri"/>
        </w:rPr>
        <w:t xml:space="preserve"> (PURA).</w:t>
      </w:r>
    </w:p>
  </w:footnote>
  <w:footnote w:id="6">
    <w:p w:rsidR="009D69FA" w:rsidRDefault="009D69FA" w:rsidP="000B32FD">
      <w:pPr>
        <w:pStyle w:val="FootnoteText"/>
        <w:spacing w:before="120"/>
      </w:pPr>
      <w:r>
        <w:rPr>
          <w:rStyle w:val="FootnoteReference"/>
        </w:rPr>
        <w:footnoteRef/>
      </w:r>
      <w:r>
        <w:t xml:space="preserve">  Proposal for Decision (Oct. 13, 2016).</w:t>
      </w:r>
    </w:p>
  </w:footnote>
  <w:footnote w:id="7">
    <w:p w:rsidR="005E5DF9" w:rsidRDefault="005E5DF9" w:rsidP="000B32FD">
      <w:pPr>
        <w:pStyle w:val="FootnoteText"/>
        <w:spacing w:before="120"/>
      </w:pPr>
      <w:r>
        <w:rPr>
          <w:rStyle w:val="FootnoteReference"/>
        </w:rPr>
        <w:footnoteRef/>
      </w:r>
      <w:r>
        <w:t xml:space="preserve"> </w:t>
      </w:r>
      <w:r w:rsidR="00356E06">
        <w:t xml:space="preserve"> SOAH ALJ’s </w:t>
      </w:r>
      <w:r>
        <w:t>Correction Letter</w:t>
      </w:r>
      <w:r w:rsidR="00356E06">
        <w:t xml:space="preserve"> (Nov. 27, 2017).</w:t>
      </w:r>
    </w:p>
  </w:footnote>
  <w:footnote w:id="8">
    <w:p w:rsidR="001D42C6" w:rsidRPr="001D42C6" w:rsidRDefault="001D42C6" w:rsidP="00FE7CC8">
      <w:pPr>
        <w:pStyle w:val="FootnoteText"/>
        <w:spacing w:before="120"/>
        <w:jc w:val="both"/>
      </w:pPr>
      <w:r>
        <w:rPr>
          <w:rStyle w:val="FootnoteReference"/>
        </w:rPr>
        <w:footnoteRef/>
      </w:r>
      <w:r>
        <w:t xml:space="preserve"> </w:t>
      </w:r>
      <w:r>
        <w:rPr>
          <w:i/>
        </w:rPr>
        <w:t>See Petition of Collin County Commissioners’ Court, et al., for Declaratory Order Interpreting P.U.C. Subst. R. 25.184(c</w:t>
      </w:r>
      <w:proofErr w:type="gramStart"/>
      <w:r>
        <w:rPr>
          <w:i/>
        </w:rPr>
        <w:t>)(</w:t>
      </w:r>
      <w:proofErr w:type="gramEnd"/>
      <w:r>
        <w:rPr>
          <w:i/>
        </w:rPr>
        <w:t>4) to Include Customer-controlled On-site Energy Storage</w:t>
      </w:r>
      <w:r>
        <w:t>, Docket No. 30578, Order of Dismissal at 3 (Aug. 15, 2005), “The Commission finds that there is a lack of factual evidence necessary to make a ruling . . . [and] that a rulemaking is the appropriate type of proceeding to address the issues. . .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857790">
    <w:pPr>
      <w:pStyle w:val="Header"/>
      <w:tabs>
        <w:tab w:val="clear" w:pos="4680"/>
        <w:tab w:val="center" w:pos="4950"/>
      </w:tabs>
    </w:pPr>
    <w:r>
      <w:t>PUC Docket No. </w:t>
    </w:r>
    <w:r w:rsidR="00857790">
      <w:t>46368</w:t>
    </w:r>
    <w:r>
      <w:tab/>
      <w:t>Order</w:t>
    </w:r>
    <w:r>
      <w:tab/>
      <w:t xml:space="preserve">Page </w:t>
    </w:r>
    <w:r>
      <w:fldChar w:fldCharType="begin"/>
    </w:r>
    <w:r>
      <w:instrText xml:space="preserve"> PAGE   \* MERGEFORMAT </w:instrText>
    </w:r>
    <w:r>
      <w:fldChar w:fldCharType="separate"/>
    </w:r>
    <w:r w:rsidR="00850C5F">
      <w:rPr>
        <w:noProof/>
      </w:rPr>
      <w:t>5</w:t>
    </w:r>
    <w:r>
      <w:fldChar w:fldCharType="end"/>
    </w:r>
    <w:r>
      <w:t xml:space="preserve"> of </w:t>
    </w:r>
    <w:fldSimple w:instr=" NUMPAGES   \* MERGEFORMAT ">
      <w:r w:rsidR="00850C5F">
        <w:rPr>
          <w:noProof/>
        </w:rPr>
        <w:t>6</w:t>
      </w:r>
    </w:fldSimple>
  </w:p>
  <w:p w:rsidR="00ED04FC" w:rsidRDefault="00ED04FC">
    <w:pPr>
      <w:pStyle w:val="Header"/>
    </w:pPr>
    <w:r>
      <w:t>SOAH Docket No. </w:t>
    </w:r>
    <w:r w:rsidR="00857790">
      <w:t>473-17-0684</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E74A812"/>
    <w:lvl w:ilvl="0">
      <w:start w:val="1"/>
      <w:numFmt w:val="decimal"/>
      <w:pStyle w:val="ListNumber2"/>
      <w:lvlText w:val="%1."/>
      <w:lvlJc w:val="left"/>
      <w:pPr>
        <w:tabs>
          <w:tab w:val="num" w:pos="630"/>
        </w:tabs>
        <w:ind w:left="630" w:hanging="36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84218B"/>
    <w:multiLevelType w:val="hybridMultilevel"/>
    <w:tmpl w:val="8B303B78"/>
    <w:lvl w:ilvl="0" w:tplc="BB7049F4">
      <w:start w:val="1"/>
      <w:numFmt w:val="upperRoman"/>
      <w:lvlText w:val="%1."/>
      <w:lvlJc w:val="left"/>
      <w:pPr>
        <w:tabs>
          <w:tab w:val="num" w:pos="1080"/>
        </w:tabs>
        <w:ind w:left="1080" w:hanging="720"/>
      </w:pPr>
      <w:rPr>
        <w:rFonts w:hint="default"/>
      </w:rPr>
    </w:lvl>
    <w:lvl w:ilvl="1" w:tplc="E55A693C">
      <w:start w:val="2"/>
      <w:numFmt w:val="upperLetter"/>
      <w:lvlText w:val="%2."/>
      <w:lvlJc w:val="left"/>
      <w:pPr>
        <w:tabs>
          <w:tab w:val="num" w:pos="1440"/>
        </w:tabs>
        <w:ind w:left="1440" w:hanging="360"/>
      </w:pPr>
      <w:rPr>
        <w:rFonts w:hint="default"/>
      </w:rPr>
    </w:lvl>
    <w:lvl w:ilvl="2" w:tplc="EB22351A">
      <w:start w:val="3"/>
      <w:numFmt w:val="lowerLetter"/>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804CDD"/>
    <w:multiLevelType w:val="hybridMultilevel"/>
    <w:tmpl w:val="231667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DEB6C1B"/>
    <w:multiLevelType w:val="hybridMultilevel"/>
    <w:tmpl w:val="25EE943C"/>
    <w:lvl w:ilvl="0" w:tplc="2494B81C">
      <w:start w:val="1"/>
      <w:numFmt w:val="decimal"/>
      <w:lvlText w:val="%1."/>
      <w:lvlJc w:val="left"/>
      <w:pPr>
        <w:tabs>
          <w:tab w:val="num" w:pos="648"/>
        </w:tabs>
        <w:ind w:left="648"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8"/>
  </w:num>
  <w:num w:numId="5">
    <w:abstractNumId w:val="4"/>
  </w:num>
  <w:num w:numId="6">
    <w:abstractNumId w:val="6"/>
  </w:num>
  <w:num w:numId="7">
    <w:abstractNumId w:val="7"/>
  </w:num>
  <w:num w:numId="8">
    <w:abstractNumId w:val="3"/>
  </w:num>
  <w:num w:numId="9">
    <w:abstractNumId w:val="5"/>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2EA"/>
    <w:rsid w:val="00011749"/>
    <w:rsid w:val="00020BD7"/>
    <w:rsid w:val="000635AE"/>
    <w:rsid w:val="00077BD5"/>
    <w:rsid w:val="000B32FD"/>
    <w:rsid w:val="000D6722"/>
    <w:rsid w:val="000E457C"/>
    <w:rsid w:val="000E5DBE"/>
    <w:rsid w:val="00102205"/>
    <w:rsid w:val="001169CA"/>
    <w:rsid w:val="00132F37"/>
    <w:rsid w:val="001455CF"/>
    <w:rsid w:val="001478B3"/>
    <w:rsid w:val="00160DCD"/>
    <w:rsid w:val="001622EA"/>
    <w:rsid w:val="001661A1"/>
    <w:rsid w:val="00190E96"/>
    <w:rsid w:val="00191F4A"/>
    <w:rsid w:val="001A72BB"/>
    <w:rsid w:val="001B0751"/>
    <w:rsid w:val="001D18C9"/>
    <w:rsid w:val="001D42C6"/>
    <w:rsid w:val="001D4F4B"/>
    <w:rsid w:val="001E360C"/>
    <w:rsid w:val="00207648"/>
    <w:rsid w:val="00222E04"/>
    <w:rsid w:val="00265B8A"/>
    <w:rsid w:val="00266075"/>
    <w:rsid w:val="00266F9F"/>
    <w:rsid w:val="00271F92"/>
    <w:rsid w:val="00312838"/>
    <w:rsid w:val="003464F2"/>
    <w:rsid w:val="00350F84"/>
    <w:rsid w:val="00355FD2"/>
    <w:rsid w:val="00356E06"/>
    <w:rsid w:val="003729E5"/>
    <w:rsid w:val="00387420"/>
    <w:rsid w:val="003A4EF5"/>
    <w:rsid w:val="003A7D2A"/>
    <w:rsid w:val="003B12BF"/>
    <w:rsid w:val="003D2A21"/>
    <w:rsid w:val="003F2037"/>
    <w:rsid w:val="00403B55"/>
    <w:rsid w:val="00413361"/>
    <w:rsid w:val="00431967"/>
    <w:rsid w:val="00431F75"/>
    <w:rsid w:val="00433B5E"/>
    <w:rsid w:val="00436AA9"/>
    <w:rsid w:val="00454EF2"/>
    <w:rsid w:val="00461F8B"/>
    <w:rsid w:val="00466888"/>
    <w:rsid w:val="00472ECA"/>
    <w:rsid w:val="004934FF"/>
    <w:rsid w:val="004C0F16"/>
    <w:rsid w:val="004C579C"/>
    <w:rsid w:val="004D0220"/>
    <w:rsid w:val="004E082A"/>
    <w:rsid w:val="005022A6"/>
    <w:rsid w:val="00517B9A"/>
    <w:rsid w:val="005501D4"/>
    <w:rsid w:val="00560A2B"/>
    <w:rsid w:val="00580482"/>
    <w:rsid w:val="005B3D60"/>
    <w:rsid w:val="005B5A16"/>
    <w:rsid w:val="005C3512"/>
    <w:rsid w:val="005D046C"/>
    <w:rsid w:val="005E2B57"/>
    <w:rsid w:val="005E5DF9"/>
    <w:rsid w:val="00602E42"/>
    <w:rsid w:val="00607BCF"/>
    <w:rsid w:val="00614F0B"/>
    <w:rsid w:val="0062202F"/>
    <w:rsid w:val="00637A2B"/>
    <w:rsid w:val="006606D3"/>
    <w:rsid w:val="00661A6E"/>
    <w:rsid w:val="00667233"/>
    <w:rsid w:val="0067348C"/>
    <w:rsid w:val="00677B5E"/>
    <w:rsid w:val="006F04AD"/>
    <w:rsid w:val="0071623F"/>
    <w:rsid w:val="00741FD2"/>
    <w:rsid w:val="0074301D"/>
    <w:rsid w:val="00745D37"/>
    <w:rsid w:val="007572FC"/>
    <w:rsid w:val="0076198D"/>
    <w:rsid w:val="00761EA3"/>
    <w:rsid w:val="00791C33"/>
    <w:rsid w:val="007B1591"/>
    <w:rsid w:val="007B602A"/>
    <w:rsid w:val="007E04C3"/>
    <w:rsid w:val="0080046C"/>
    <w:rsid w:val="008261BA"/>
    <w:rsid w:val="00832F97"/>
    <w:rsid w:val="00850C5F"/>
    <w:rsid w:val="00857790"/>
    <w:rsid w:val="008646F0"/>
    <w:rsid w:val="008738BF"/>
    <w:rsid w:val="00885068"/>
    <w:rsid w:val="00893A1E"/>
    <w:rsid w:val="008D1724"/>
    <w:rsid w:val="008E322A"/>
    <w:rsid w:val="008E4BC3"/>
    <w:rsid w:val="008F3459"/>
    <w:rsid w:val="00951F5D"/>
    <w:rsid w:val="009727E0"/>
    <w:rsid w:val="00984D4D"/>
    <w:rsid w:val="009A4880"/>
    <w:rsid w:val="009C1919"/>
    <w:rsid w:val="009C2F96"/>
    <w:rsid w:val="009D1D65"/>
    <w:rsid w:val="009D69FA"/>
    <w:rsid w:val="009F5939"/>
    <w:rsid w:val="00A035EA"/>
    <w:rsid w:val="00A146A7"/>
    <w:rsid w:val="00A37518"/>
    <w:rsid w:val="00A40798"/>
    <w:rsid w:val="00A97633"/>
    <w:rsid w:val="00AA10C9"/>
    <w:rsid w:val="00AB7553"/>
    <w:rsid w:val="00B22348"/>
    <w:rsid w:val="00B657A6"/>
    <w:rsid w:val="00B71CA8"/>
    <w:rsid w:val="00B97A62"/>
    <w:rsid w:val="00BB0419"/>
    <w:rsid w:val="00BB5EAF"/>
    <w:rsid w:val="00BF2D99"/>
    <w:rsid w:val="00C04948"/>
    <w:rsid w:val="00C3301C"/>
    <w:rsid w:val="00C54659"/>
    <w:rsid w:val="00C56E48"/>
    <w:rsid w:val="00C5752B"/>
    <w:rsid w:val="00CF2000"/>
    <w:rsid w:val="00D00551"/>
    <w:rsid w:val="00D03394"/>
    <w:rsid w:val="00D1503F"/>
    <w:rsid w:val="00D268CA"/>
    <w:rsid w:val="00D451DC"/>
    <w:rsid w:val="00D706B4"/>
    <w:rsid w:val="00DA1795"/>
    <w:rsid w:val="00DC53AE"/>
    <w:rsid w:val="00E21773"/>
    <w:rsid w:val="00E32405"/>
    <w:rsid w:val="00E60E38"/>
    <w:rsid w:val="00E73F5C"/>
    <w:rsid w:val="00E776EF"/>
    <w:rsid w:val="00E91ED1"/>
    <w:rsid w:val="00EA3CA5"/>
    <w:rsid w:val="00EB1BEA"/>
    <w:rsid w:val="00EB3FB6"/>
    <w:rsid w:val="00ED04FC"/>
    <w:rsid w:val="00ED10B4"/>
    <w:rsid w:val="00EE0A7E"/>
    <w:rsid w:val="00EE4E4D"/>
    <w:rsid w:val="00EE5DDA"/>
    <w:rsid w:val="00F518CC"/>
    <w:rsid w:val="00F5666B"/>
    <w:rsid w:val="00F86063"/>
    <w:rsid w:val="00F93D98"/>
    <w:rsid w:val="00FA1E83"/>
    <w:rsid w:val="00FE1E8A"/>
    <w:rsid w:val="00FE4318"/>
    <w:rsid w:val="00FE7CC8"/>
    <w:rsid w:val="00FF1816"/>
    <w:rsid w:val="00FF2CE4"/>
    <w:rsid w:val="00FF4271"/>
    <w:rsid w:val="00FF4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F90DD729-A360-4857-8838-55C0E0F03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qFormat/>
    <w:rsid w:val="008D1724"/>
    <w:pPr>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D1724"/>
    <w:rPr>
      <w:sz w:val="20"/>
      <w:szCs w:val="20"/>
    </w:rPr>
  </w:style>
  <w:style w:type="character" w:styleId="FootnoteReference">
    <w:name w:val="footnote reference"/>
    <w:aliases w:val="o,fr,Style 3,Style 21,Style 12,FR,(NECG) Footnote Reference,Appel note de bas de p,Style 24,Style 17,Style 28,Style 8,Style 15,Style 9,o1,fr1,o2,fr2,o3,fr3,Style 18,Style 20,Style 7,Style 19,Style 16,Style 30,HLR Footnote,Style 11"/>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link w:val="ListParagraphChar"/>
    <w:uiPriority w:val="99"/>
    <w:qFormat/>
    <w:rsid w:val="00857790"/>
    <w:pPr>
      <w:ind w:left="720"/>
      <w:contextualSpacing/>
    </w:pPr>
    <w:rPr>
      <w:rFonts w:ascii="Cambria" w:eastAsia="Cambria" w:hAnsi="Cambria"/>
    </w:rPr>
  </w:style>
  <w:style w:type="character" w:customStyle="1" w:styleId="ListParagraphChar">
    <w:name w:val="List Paragraph Char"/>
    <w:link w:val="ListParagraph"/>
    <w:uiPriority w:val="34"/>
    <w:rsid w:val="00857790"/>
    <w:rPr>
      <w:rFonts w:ascii="Cambria" w:eastAsia="Cambria" w:hAnsi="Cambria"/>
    </w:rPr>
  </w:style>
  <w:style w:type="paragraph" w:styleId="ListNumber2">
    <w:name w:val="List Number 2"/>
    <w:basedOn w:val="Normal"/>
    <w:rsid w:val="00857790"/>
    <w:pPr>
      <w:numPr>
        <w:numId w:val="10"/>
      </w:numPr>
      <w:tabs>
        <w:tab w:val="clear" w:pos="630"/>
        <w:tab w:val="num" w:pos="360"/>
      </w:tabs>
      <w:ind w:left="360"/>
    </w:pPr>
    <w:rPr>
      <w:rFonts w:eastAsia="Times New Roman"/>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uiPriority w:val="99"/>
    <w:rsid w:val="0060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5AA28-A7E8-49CE-8156-56D76668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8</cp:revision>
  <cp:lastPrinted>2018-02-15T16:31:00Z</cp:lastPrinted>
  <dcterms:created xsi:type="dcterms:W3CDTF">2018-02-15T16:26:00Z</dcterms:created>
  <dcterms:modified xsi:type="dcterms:W3CDTF">2018-02-15T16:37:00Z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